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jc w:val="center"/>
        <w:rPr>
          <w:b w:val="1"/>
          <w:color w:val="222222"/>
          <w:sz w:val="32"/>
          <w:szCs w:val="32"/>
        </w:rPr>
      </w:pPr>
      <w:r w:rsidDel="00000000" w:rsidR="00000000" w:rsidRPr="00000000">
        <w:rPr>
          <w:b w:val="1"/>
          <w:color w:val="222222"/>
          <w:sz w:val="32"/>
          <w:szCs w:val="32"/>
          <w:rtl w:val="0"/>
        </w:rPr>
        <w:t xml:space="preserve">Chemistry Faculty - Teaching Above Load</w:t>
      </w:r>
    </w:p>
    <w:p w:rsidR="00000000" w:rsidDel="00000000" w:rsidP="00000000" w:rsidRDefault="00000000" w:rsidRPr="00000000" w14:paraId="00000002">
      <w:pPr>
        <w:shd w:fill="ffffff" w:val="clear"/>
        <w:jc w:val="center"/>
        <w:rPr>
          <w:b w:val="1"/>
          <w:color w:val="222222"/>
          <w:sz w:val="24"/>
          <w:szCs w:val="24"/>
        </w:rPr>
      </w:pPr>
      <w:r w:rsidDel="00000000" w:rsidR="00000000" w:rsidRPr="00000000">
        <w:rPr>
          <w:b w:val="1"/>
          <w:color w:val="222222"/>
          <w:sz w:val="24"/>
          <w:szCs w:val="24"/>
          <w:rtl w:val="0"/>
        </w:rPr>
        <w:t xml:space="preserve">Approved: June 2024 for AY24-25</w:t>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6">
      <w:pPr>
        <w:shd w:fill="ffffff" w:val="clear"/>
        <w:rPr>
          <w:b w:val="1"/>
          <w:color w:val="222222"/>
          <w:u w:val="single"/>
        </w:rPr>
      </w:pPr>
      <w:r w:rsidDel="00000000" w:rsidR="00000000" w:rsidRPr="00000000">
        <w:rPr>
          <w:b w:val="1"/>
          <w:color w:val="222222"/>
          <w:u w:val="single"/>
          <w:rtl w:val="0"/>
        </w:rPr>
        <w:t xml:space="preserve">Guidelines for Receiving Funds for Above-Load Teaching</w:t>
      </w:r>
    </w:p>
    <w:p w:rsidR="00000000" w:rsidDel="00000000" w:rsidP="00000000" w:rsidRDefault="00000000" w:rsidRPr="00000000" w14:paraId="00000007">
      <w:pPr>
        <w:shd w:fill="ffffff" w:val="clear"/>
        <w:ind w:left="360" w:hanging="360"/>
        <w:rPr>
          <w:color w:val="222222"/>
        </w:rPr>
      </w:pPr>
      <w:r w:rsidDel="00000000" w:rsidR="00000000" w:rsidRPr="00000000">
        <w:rPr>
          <w:color w:val="222222"/>
          <w:rtl w:val="0"/>
        </w:rPr>
        <w:t xml:space="preserve">1.  </w:t>
        <w:tab/>
        <w:t xml:space="preserve">Faculty will receive $9000 from our TFTE allocation which will be put into a research fund for the faculty member.  (Note: these funds are unrestricted but may not be used to pay themselves a stipend and are subject to state fund guidelines and cannot be used to purchase alcohol)</w:t>
      </w:r>
    </w:p>
    <w:p w:rsidR="00000000" w:rsidDel="00000000" w:rsidP="00000000" w:rsidRDefault="00000000" w:rsidRPr="00000000" w14:paraId="00000008">
      <w:pPr>
        <w:shd w:fill="ffffff" w:val="clear"/>
        <w:ind w:left="360" w:hanging="360"/>
        <w:rPr>
          <w:color w:val="222222"/>
        </w:rPr>
      </w:pPr>
      <w:r w:rsidDel="00000000" w:rsidR="00000000" w:rsidRPr="00000000">
        <w:rPr>
          <w:rtl w:val="0"/>
        </w:rPr>
      </w:r>
    </w:p>
    <w:p w:rsidR="00000000" w:rsidDel="00000000" w:rsidP="00000000" w:rsidRDefault="00000000" w:rsidRPr="00000000" w14:paraId="00000009">
      <w:pPr>
        <w:shd w:fill="ffffff" w:val="clear"/>
        <w:ind w:left="360" w:hanging="360"/>
        <w:rPr>
          <w:color w:val="222222"/>
        </w:rPr>
      </w:pPr>
      <w:r w:rsidDel="00000000" w:rsidR="00000000" w:rsidRPr="00000000">
        <w:rPr>
          <w:color w:val="222222"/>
          <w:rtl w:val="0"/>
        </w:rPr>
        <w:t xml:space="preserve">2.</w:t>
        <w:tab/>
        <w:t xml:space="preserve">When an above-load teaching opportunity arises:</w:t>
      </w:r>
    </w:p>
    <w:p w:rsidR="00000000" w:rsidDel="00000000" w:rsidP="00000000" w:rsidRDefault="00000000" w:rsidRPr="00000000" w14:paraId="0000000A">
      <w:pPr>
        <w:shd w:fill="ffffff" w:val="clear"/>
        <w:ind w:left="360" w:hanging="360"/>
        <w:rPr>
          <w:color w:val="222222"/>
        </w:rPr>
      </w:pPr>
      <w:r w:rsidDel="00000000" w:rsidR="00000000" w:rsidRPr="00000000">
        <w:rPr>
          <w:color w:val="222222"/>
          <w:rtl w:val="0"/>
        </w:rPr>
        <w:t xml:space="preserve">2a. For classes that are section specific: Section Chair/Vice Chair will send an email call to include all instructors (regardless of section) who have taught the course before to ensure equity in the department.</w:t>
      </w:r>
    </w:p>
    <w:p w:rsidR="00000000" w:rsidDel="00000000" w:rsidP="00000000" w:rsidRDefault="00000000" w:rsidRPr="00000000" w14:paraId="0000000B">
      <w:pPr>
        <w:shd w:fill="ffffff" w:val="clear"/>
        <w:ind w:left="360" w:hanging="360"/>
        <w:rPr>
          <w:color w:val="222222"/>
        </w:rPr>
      </w:pPr>
      <w:r w:rsidDel="00000000" w:rsidR="00000000" w:rsidRPr="00000000">
        <w:rPr>
          <w:color w:val="222222"/>
          <w:rtl w:val="0"/>
        </w:rPr>
        <w:t xml:space="preserve">2b. For general classes: EdOps Vice Chair of Undergraduate Education will send an email call to include all faculty in the department.</w:t>
      </w:r>
    </w:p>
    <w:p w:rsidR="00000000" w:rsidDel="00000000" w:rsidP="00000000" w:rsidRDefault="00000000" w:rsidRPr="00000000" w14:paraId="0000000C">
      <w:pPr>
        <w:shd w:fill="ffffff" w:val="clear"/>
        <w:ind w:left="360" w:hanging="360"/>
        <w:rPr>
          <w:color w:val="222222"/>
        </w:rPr>
      </w:pPr>
      <w:r w:rsidDel="00000000" w:rsidR="00000000" w:rsidRPr="00000000">
        <w:rPr>
          <w:rtl w:val="0"/>
        </w:rPr>
      </w:r>
    </w:p>
    <w:p w:rsidR="00000000" w:rsidDel="00000000" w:rsidP="00000000" w:rsidRDefault="00000000" w:rsidRPr="00000000" w14:paraId="0000000D">
      <w:pPr>
        <w:shd w:fill="ffffff" w:val="clear"/>
        <w:ind w:left="360" w:hanging="360"/>
        <w:rPr>
          <w:color w:val="222222"/>
        </w:rPr>
      </w:pPr>
      <w:r w:rsidDel="00000000" w:rsidR="00000000" w:rsidRPr="00000000">
        <w:rPr>
          <w:color w:val="222222"/>
          <w:rtl w:val="0"/>
        </w:rPr>
        <w:t xml:space="preserve">3. </w:t>
        <w:tab/>
        <w:t xml:space="preserve">This only applies in situations where we would be hiring an outside person to teach (all qualified instructors are already teaching)</w:t>
      </w:r>
    </w:p>
    <w:p w:rsidR="00000000" w:rsidDel="00000000" w:rsidP="00000000" w:rsidRDefault="00000000" w:rsidRPr="00000000" w14:paraId="0000000E">
      <w:pPr>
        <w:shd w:fill="ffffff" w:val="clear"/>
        <w:ind w:left="360" w:hanging="360"/>
        <w:rPr>
          <w:color w:val="222222"/>
        </w:rPr>
      </w:pPr>
      <w:r w:rsidDel="00000000" w:rsidR="00000000" w:rsidRPr="00000000">
        <w:rPr>
          <w:rtl w:val="0"/>
        </w:rPr>
      </w:r>
    </w:p>
    <w:p w:rsidR="00000000" w:rsidDel="00000000" w:rsidP="00000000" w:rsidRDefault="00000000" w:rsidRPr="00000000" w14:paraId="0000000F">
      <w:pPr>
        <w:shd w:fill="ffffff" w:val="clear"/>
        <w:ind w:left="360" w:hanging="360"/>
        <w:rPr>
          <w:color w:val="222222"/>
        </w:rPr>
      </w:pPr>
      <w:r w:rsidDel="00000000" w:rsidR="00000000" w:rsidRPr="00000000">
        <w:rPr>
          <w:color w:val="222222"/>
          <w:rtl w:val="0"/>
        </w:rPr>
        <w:t xml:space="preserve">4. </w:t>
        <w:tab/>
        <w:t xml:space="preserve">Any requests for above-load teaching needs to be approved by EdOps (please reach out to VCUE Kimberly Schurmeier or email </w:t>
      </w:r>
      <w:r w:rsidDel="00000000" w:rsidR="00000000" w:rsidRPr="00000000">
        <w:rPr>
          <w:color w:val="1155cc"/>
          <w:rtl w:val="0"/>
        </w:rPr>
        <w:t xml:space="preserve">chem-edops-g@ucsd.edu</w:t>
      </w:r>
      <w:r w:rsidDel="00000000" w:rsidR="00000000" w:rsidRPr="00000000">
        <w:rPr>
          <w:color w:val="222222"/>
          <w:rtl w:val="0"/>
        </w:rPr>
        <w:t xml:space="preserve">).</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jc w:val="center"/>
        <w:rPr>
          <w:i w:val="1"/>
          <w:color w:val="222222"/>
        </w:rPr>
      </w:pPr>
      <w:r w:rsidDel="00000000" w:rsidR="00000000" w:rsidRPr="00000000">
        <w:rPr>
          <w:i w:val="1"/>
          <w:color w:val="222222"/>
          <w:rtl w:val="0"/>
        </w:rPr>
        <w:t xml:space="preserve">This is a new policy for CBC beginning AY24-25, so thank you for your patience - as with any new process, we will review and make updates as needed in subsequent academic years.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hd w:fill="ffffff" w:val="clear"/>
        <w:rPr>
          <w:b w:val="1"/>
          <w:color w:val="222222"/>
          <w:u w:val="single"/>
        </w:rPr>
      </w:pPr>
      <w:r w:rsidDel="00000000" w:rsidR="00000000" w:rsidRPr="00000000">
        <w:rPr>
          <w:b w:val="1"/>
          <w:color w:val="222222"/>
          <w:u w:val="single"/>
          <w:rtl w:val="0"/>
        </w:rPr>
        <w:t xml:space="preserve">What is TFTE? (Temp FTE)</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We receive TFTE funding when our department teaching load exceeds the number of regular faculty we have to teach the courses we offer (seminars and small courses are excluded from the formula).  These funds are generally used to hire lecturers/Unit 18s and to supplement our TA/tutor/reader funding. </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b w:val="1"/>
          <w:color w:val="222222"/>
          <w:u w:val="single"/>
        </w:rPr>
      </w:pPr>
      <w:r w:rsidDel="00000000" w:rsidR="00000000" w:rsidRPr="00000000">
        <w:rPr>
          <w:b w:val="1"/>
          <w:color w:val="222222"/>
          <w:u w:val="single"/>
          <w:rtl w:val="0"/>
        </w:rPr>
        <w:t xml:space="preserve">Background</w:t>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T</w:t>
      </w:r>
      <w:r w:rsidDel="00000000" w:rsidR="00000000" w:rsidRPr="00000000">
        <w:rPr>
          <w:color w:val="222222"/>
          <w:rtl w:val="0"/>
        </w:rPr>
        <w:t xml:space="preserve">here was a request to allow faculty to teach above load in order to meet teaching needs as well as provide some compensation to the faculty member.  After reviewing the request and running it by staff to ensure this is all within policy, we are pleased to say yes - the department will support this effective AY24-25.  Approved by Council June 2024.  Guidelines sent to Council June 26, 2024 for distribution to sections.</w:t>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color w:val="222222"/>
        </w:rPr>
      </w:pPr>
      <w:r w:rsidDel="00000000" w:rsidR="00000000" w:rsidRPr="00000000">
        <w:rPr>
          <w:rtl w:val="0"/>
        </w:rPr>
      </w:r>
    </w:p>
    <w:sectPr>
      <w:footerReference r:id="rId6" w:type="default"/>
      <w:pgSz w:h="15840" w:w="12240" w:orient="portrait"/>
      <w:pgMar w:bottom="720" w:top="705.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sz w:val="16"/>
        <w:szCs w:val="16"/>
        <w:rtl w:val="0"/>
      </w:rPr>
      <w:t xml:space="preserve">Last updated 10/2/24 by F. Chou</w:t>
    </w:r>
    <w:r w:rsidDel="00000000" w:rsidR="00000000" w:rsidRPr="00000000">
      <w:rPr>
        <w:rtl w:val="0"/>
      </w:rPr>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