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CBC Teaching Equity Policy</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Approved: August 1, 2024 / Effective: September 1, 2024</w:t>
      </w:r>
    </w:p>
    <w:p w:rsidR="00000000" w:rsidDel="00000000" w:rsidP="00000000" w:rsidRDefault="00000000" w:rsidRPr="00000000" w14:paraId="00000003">
      <w:pPr>
        <w:spacing w:after="0" w:before="0" w:line="240" w:lineRule="auto"/>
        <w:rPr/>
      </w:pPr>
      <w:r w:rsidDel="00000000" w:rsidR="00000000" w:rsidRPr="00000000">
        <w:rPr>
          <w:rtl w:val="0"/>
        </w:rPr>
      </w:r>
    </w:p>
    <w:p w:rsidR="00000000" w:rsidDel="00000000" w:rsidP="00000000" w:rsidRDefault="00000000" w:rsidRPr="00000000" w14:paraId="00000004">
      <w:pPr>
        <w:spacing w:after="0" w:before="0" w:line="240" w:lineRule="auto"/>
        <w:rPr/>
      </w:pPr>
      <w:r w:rsidDel="00000000" w:rsidR="00000000" w:rsidRPr="00000000">
        <w:rPr>
          <w:rtl w:val="0"/>
        </w:rPr>
      </w:r>
    </w:p>
    <w:p w:rsidR="00000000" w:rsidDel="00000000" w:rsidP="00000000" w:rsidRDefault="00000000" w:rsidRPr="00000000" w14:paraId="00000005">
      <w:pPr>
        <w:widowControl w:val="0"/>
        <w:numPr>
          <w:ilvl w:val="0"/>
          <w:numId w:val="1"/>
        </w:numPr>
        <w:spacing w:after="0" w:before="0" w:line="240" w:lineRule="auto"/>
        <w:ind w:left="720" w:right="0" w:hanging="360"/>
        <w:rPr/>
      </w:pPr>
      <w:r w:rsidDel="00000000" w:rsidR="00000000" w:rsidRPr="00000000">
        <w:rPr>
          <w:rtl w:val="0"/>
        </w:rPr>
        <w:t xml:space="preserve">The normal teaching load for the Research Faculty is two courses, for the Teaching Faculty is 5 courses per academic year.</w:t>
      </w:r>
    </w:p>
    <w:p w:rsidR="00000000" w:rsidDel="00000000" w:rsidP="00000000" w:rsidRDefault="00000000" w:rsidRPr="00000000" w14:paraId="00000006">
      <w:pPr>
        <w:widowControl w:val="0"/>
        <w:spacing w:after="0" w:before="0" w:line="240" w:lineRule="auto"/>
        <w:ind w:right="0"/>
        <w:rPr/>
      </w:pPr>
      <w:r w:rsidDel="00000000" w:rsidR="00000000" w:rsidRPr="00000000">
        <w:rPr>
          <w:rtl w:val="0"/>
        </w:rPr>
      </w:r>
    </w:p>
    <w:p w:rsidR="00000000" w:rsidDel="00000000" w:rsidP="00000000" w:rsidRDefault="00000000" w:rsidRPr="00000000" w14:paraId="00000007">
      <w:pPr>
        <w:widowControl w:val="0"/>
        <w:numPr>
          <w:ilvl w:val="0"/>
          <w:numId w:val="1"/>
        </w:numPr>
        <w:spacing w:after="0" w:before="0" w:line="240" w:lineRule="auto"/>
        <w:ind w:left="720" w:right="0" w:hanging="360"/>
        <w:rPr/>
      </w:pPr>
      <w:r w:rsidDel="00000000" w:rsidR="00000000" w:rsidRPr="00000000">
        <w:rPr>
          <w:rtl w:val="0"/>
        </w:rPr>
        <w:t xml:space="preserve">Teaching equity should be achieved annually, with long term equity and planning attained over 2-3 years.</w:t>
      </w:r>
    </w:p>
    <w:p w:rsidR="00000000" w:rsidDel="00000000" w:rsidP="00000000" w:rsidRDefault="00000000" w:rsidRPr="00000000" w14:paraId="00000008">
      <w:pPr>
        <w:widowControl w:val="0"/>
        <w:spacing w:after="0" w:before="0" w:line="240" w:lineRule="auto"/>
        <w:ind w:right="0"/>
        <w:rPr/>
      </w:pPr>
      <w:r w:rsidDel="00000000" w:rsidR="00000000" w:rsidRPr="00000000">
        <w:rPr>
          <w:rtl w:val="0"/>
        </w:rPr>
      </w:r>
    </w:p>
    <w:p w:rsidR="00000000" w:rsidDel="00000000" w:rsidP="00000000" w:rsidRDefault="00000000" w:rsidRPr="00000000" w14:paraId="00000009">
      <w:pPr>
        <w:widowControl w:val="0"/>
        <w:numPr>
          <w:ilvl w:val="0"/>
          <w:numId w:val="1"/>
        </w:numPr>
        <w:spacing w:after="0" w:before="0" w:line="240" w:lineRule="auto"/>
        <w:ind w:left="720" w:right="0" w:hanging="360"/>
        <w:rPr/>
      </w:pPr>
      <w:r w:rsidDel="00000000" w:rsidR="00000000" w:rsidRPr="00000000">
        <w:rPr>
          <w:rtl w:val="0"/>
        </w:rPr>
        <w:t xml:space="preserve">Course size definitions:</w:t>
      </w:r>
    </w:p>
    <w:p w:rsidR="00000000" w:rsidDel="00000000" w:rsidP="00000000" w:rsidRDefault="00000000" w:rsidRPr="00000000" w14:paraId="0000000A">
      <w:pPr>
        <w:widowControl w:val="0"/>
        <w:numPr>
          <w:ilvl w:val="1"/>
          <w:numId w:val="1"/>
        </w:numPr>
        <w:spacing w:after="0" w:before="0" w:line="240" w:lineRule="auto"/>
        <w:ind w:left="1440" w:right="0" w:hanging="360"/>
        <w:rPr/>
      </w:pPr>
      <w:r w:rsidDel="00000000" w:rsidR="00000000" w:rsidRPr="00000000">
        <w:rPr>
          <w:rtl w:val="0"/>
        </w:rPr>
        <w:t xml:space="preserve">Large course = &gt;100 registered students</w:t>
      </w:r>
    </w:p>
    <w:p w:rsidR="00000000" w:rsidDel="00000000" w:rsidP="00000000" w:rsidRDefault="00000000" w:rsidRPr="00000000" w14:paraId="0000000B">
      <w:pPr>
        <w:widowControl w:val="0"/>
        <w:numPr>
          <w:ilvl w:val="1"/>
          <w:numId w:val="1"/>
        </w:numPr>
        <w:spacing w:after="0" w:before="0" w:line="240" w:lineRule="auto"/>
        <w:ind w:left="1440" w:right="0" w:hanging="360"/>
        <w:rPr/>
      </w:pPr>
      <w:r w:rsidDel="00000000" w:rsidR="00000000" w:rsidRPr="00000000">
        <w:rPr>
          <w:rtl w:val="0"/>
        </w:rPr>
        <w:t xml:space="preserve">Medium course = 50-100</w:t>
      </w:r>
    </w:p>
    <w:p w:rsidR="00000000" w:rsidDel="00000000" w:rsidP="00000000" w:rsidRDefault="00000000" w:rsidRPr="00000000" w14:paraId="0000000C">
      <w:pPr>
        <w:widowControl w:val="0"/>
        <w:numPr>
          <w:ilvl w:val="1"/>
          <w:numId w:val="1"/>
        </w:numPr>
        <w:spacing w:after="0" w:before="0" w:line="240" w:lineRule="auto"/>
        <w:ind w:left="1440" w:right="0" w:hanging="360"/>
        <w:rPr/>
      </w:pPr>
      <w:r w:rsidDel="00000000" w:rsidR="00000000" w:rsidRPr="00000000">
        <w:rPr>
          <w:rtl w:val="0"/>
        </w:rPr>
        <w:t xml:space="preserve">Small course = &lt; 50</w:t>
      </w:r>
    </w:p>
    <w:p w:rsidR="00000000" w:rsidDel="00000000" w:rsidP="00000000" w:rsidRDefault="00000000" w:rsidRPr="00000000" w14:paraId="0000000D">
      <w:pPr>
        <w:widowControl w:val="0"/>
        <w:numPr>
          <w:ilvl w:val="1"/>
          <w:numId w:val="1"/>
        </w:numPr>
        <w:spacing w:after="0" w:before="0" w:line="240" w:lineRule="auto"/>
        <w:ind w:left="1440" w:right="0" w:hanging="360"/>
        <w:rPr/>
      </w:pPr>
      <w:r w:rsidDel="00000000" w:rsidR="00000000" w:rsidRPr="00000000">
        <w:rPr>
          <w:rtl w:val="0"/>
        </w:rPr>
        <w:t xml:space="preserve">Some courses with smaller enrollments (50-100) may be classiﬁed as large courses based on major requirements or being time/labor intensive laboratories.</w:t>
      </w:r>
    </w:p>
    <w:p w:rsidR="00000000" w:rsidDel="00000000" w:rsidP="00000000" w:rsidRDefault="00000000" w:rsidRPr="00000000" w14:paraId="0000000E">
      <w:pPr>
        <w:widowControl w:val="0"/>
        <w:spacing w:after="0" w:before="0" w:line="240" w:lineRule="auto"/>
        <w:ind w:right="0"/>
        <w:rPr/>
      </w:pPr>
      <w:r w:rsidDel="00000000" w:rsidR="00000000" w:rsidRPr="00000000">
        <w:rPr>
          <w:rtl w:val="0"/>
        </w:rPr>
      </w:r>
    </w:p>
    <w:p w:rsidR="00000000" w:rsidDel="00000000" w:rsidP="00000000" w:rsidRDefault="00000000" w:rsidRPr="00000000" w14:paraId="0000000F">
      <w:pPr>
        <w:widowControl w:val="0"/>
        <w:numPr>
          <w:ilvl w:val="0"/>
          <w:numId w:val="1"/>
        </w:numPr>
        <w:spacing w:after="0" w:before="0" w:line="240" w:lineRule="auto"/>
        <w:ind w:left="720" w:right="0" w:hanging="360"/>
        <w:rPr/>
      </w:pPr>
      <w:r w:rsidDel="00000000" w:rsidR="00000000" w:rsidRPr="00000000">
        <w:rPr>
          <w:rtl w:val="0"/>
        </w:rPr>
        <w:t xml:space="preserve">Research Faculty are expected to teach one large and one small course per academic year or two medium courses per academic year; Teaching Faculty generally teach four large and one medium or small course per academic year.</w:t>
      </w:r>
    </w:p>
    <w:p w:rsidR="00000000" w:rsidDel="00000000" w:rsidP="00000000" w:rsidRDefault="00000000" w:rsidRPr="00000000" w14:paraId="00000010">
      <w:pPr>
        <w:widowControl w:val="0"/>
        <w:spacing w:after="0" w:before="0" w:line="240" w:lineRule="auto"/>
        <w:ind w:right="0"/>
        <w:rPr/>
      </w:pPr>
      <w:r w:rsidDel="00000000" w:rsidR="00000000" w:rsidRPr="00000000">
        <w:rPr>
          <w:rtl w:val="0"/>
        </w:rPr>
      </w:r>
    </w:p>
    <w:p w:rsidR="00000000" w:rsidDel="00000000" w:rsidP="00000000" w:rsidRDefault="00000000" w:rsidRPr="00000000" w14:paraId="00000011">
      <w:pPr>
        <w:widowControl w:val="0"/>
        <w:numPr>
          <w:ilvl w:val="0"/>
          <w:numId w:val="1"/>
        </w:numPr>
        <w:spacing w:after="0" w:before="0" w:line="240" w:lineRule="auto"/>
        <w:ind w:left="720" w:right="0" w:hanging="360"/>
        <w:rPr/>
      </w:pPr>
      <w:r w:rsidDel="00000000" w:rsidR="00000000" w:rsidRPr="00000000">
        <w:rPr>
          <w:rtl w:val="0"/>
        </w:rPr>
        <w:t xml:space="preserve">Classifications will be reviewed every 2 years by council for teaching equity and to determine whether changes in course categorization are merited.</w:t>
      </w:r>
    </w:p>
    <w:p w:rsidR="00000000" w:rsidDel="00000000" w:rsidP="00000000" w:rsidRDefault="00000000" w:rsidRPr="00000000" w14:paraId="00000012">
      <w:pPr>
        <w:widowControl w:val="0"/>
        <w:spacing w:after="0" w:before="0" w:line="240" w:lineRule="auto"/>
        <w:ind w:right="0"/>
        <w:rPr/>
      </w:pPr>
      <w:r w:rsidDel="00000000" w:rsidR="00000000" w:rsidRPr="00000000">
        <w:rPr>
          <w:rtl w:val="0"/>
        </w:rPr>
      </w:r>
    </w:p>
    <w:p w:rsidR="00000000" w:rsidDel="00000000" w:rsidP="00000000" w:rsidRDefault="00000000" w:rsidRPr="00000000" w14:paraId="00000013">
      <w:pPr>
        <w:widowControl w:val="0"/>
        <w:numPr>
          <w:ilvl w:val="0"/>
          <w:numId w:val="1"/>
        </w:numPr>
        <w:spacing w:after="0" w:before="0" w:line="240" w:lineRule="auto"/>
        <w:ind w:left="720" w:right="0" w:hanging="360"/>
        <w:rPr/>
      </w:pPr>
      <w:r w:rsidDel="00000000" w:rsidR="00000000" w:rsidRPr="00000000">
        <w:rPr>
          <w:rtl w:val="0"/>
        </w:rPr>
        <w:t xml:space="preserve">Faculty can only buy out 1 course per year of teaching (see</w:t>
      </w:r>
      <w:r w:rsidDel="00000000" w:rsidR="00000000" w:rsidRPr="00000000">
        <w:rPr>
          <w:rtl w:val="0"/>
        </w:rPr>
        <w:t xml:space="preserve"> Additional Resources)</w:t>
      </w:r>
      <w:r w:rsidDel="00000000" w:rsidR="00000000" w:rsidRPr="00000000">
        <w:rPr>
          <w:rtl w:val="0"/>
        </w:rPr>
        <w:t xml:space="preserve">, and it cannot be combined with another source of course relief to result in no teaching obligations in one year, outside of a full year sabbatical. All relief requests are subject to approval and based on the needs of the department.</w:t>
      </w:r>
      <w:r w:rsidDel="00000000" w:rsidR="00000000" w:rsidRPr="00000000">
        <w:rPr>
          <w:rtl w:val="0"/>
        </w:rPr>
      </w:r>
    </w:p>
    <w:p w:rsidR="00000000" w:rsidDel="00000000" w:rsidP="00000000" w:rsidRDefault="00000000" w:rsidRPr="00000000" w14:paraId="00000014">
      <w:pPr>
        <w:widowControl w:val="0"/>
        <w:spacing w:after="0" w:before="0" w:line="240" w:lineRule="auto"/>
        <w:ind w:left="720" w:right="0" w:firstLine="0"/>
        <w:rPr>
          <w:highlight w:val="yellow"/>
        </w:rPr>
      </w:pPr>
      <w:r w:rsidDel="00000000" w:rsidR="00000000" w:rsidRPr="00000000">
        <w:rPr>
          <w:rtl w:val="0"/>
        </w:rPr>
      </w:r>
    </w:p>
    <w:p w:rsidR="00000000" w:rsidDel="00000000" w:rsidP="00000000" w:rsidRDefault="00000000" w:rsidRPr="00000000" w14:paraId="00000015">
      <w:pPr>
        <w:widowControl w:val="0"/>
        <w:numPr>
          <w:ilvl w:val="0"/>
          <w:numId w:val="1"/>
        </w:numPr>
        <w:spacing w:after="0" w:before="0" w:line="240" w:lineRule="auto"/>
        <w:ind w:left="720" w:right="0" w:hanging="360"/>
        <w:rPr/>
      </w:pPr>
      <w:r w:rsidDel="00000000" w:rsidR="00000000" w:rsidRPr="00000000">
        <w:rPr>
          <w:rtl w:val="0"/>
        </w:rPr>
        <w:t xml:space="preserve">Sabbatical SAB and Teaching Release (TR) policy:</w:t>
      </w:r>
    </w:p>
    <w:p w:rsidR="00000000" w:rsidDel="00000000" w:rsidP="00000000" w:rsidRDefault="00000000" w:rsidRPr="00000000" w14:paraId="00000016">
      <w:pPr>
        <w:widowControl w:val="0"/>
        <w:spacing w:after="0" w:before="0" w:line="240" w:lineRule="auto"/>
        <w:ind w:right="0"/>
        <w:rPr/>
      </w:pPr>
      <w:r w:rsidDel="00000000" w:rsidR="00000000" w:rsidRPr="00000000">
        <w:rPr>
          <w:rtl w:val="0"/>
        </w:rPr>
      </w:r>
    </w:p>
    <w:tbl>
      <w:tblPr>
        <w:tblStyle w:val="Table1"/>
        <w:tblW w:w="1009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970"/>
        <w:gridCol w:w="3045"/>
        <w:gridCol w:w="2820"/>
        <w:tblGridChange w:id="0">
          <w:tblGrid>
            <w:gridCol w:w="1260"/>
            <w:gridCol w:w="2970"/>
            <w:gridCol w:w="3045"/>
            <w:gridCol w:w="2820"/>
          </w:tblGrid>
        </w:tblGridChange>
      </w:tblGrid>
      <w:tr>
        <w:trPr>
          <w:cantSplit w:val="0"/>
          <w:trHeight w:val="315" w:hRule="atLeast"/>
          <w:tblHeader w:val="1"/>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17">
            <w:pPr>
              <w:widowControl w:val="0"/>
              <w:spacing w:after="0" w:before="0" w:line="240" w:lineRule="auto"/>
              <w:ind w:left="0" w:right="0" w:firstLine="0"/>
              <w:jc w:val="right"/>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8">
            <w:pPr>
              <w:widowControl w:val="0"/>
              <w:spacing w:after="0" w:before="0" w:line="240" w:lineRule="auto"/>
              <w:ind w:left="0" w:right="0" w:firstLine="0"/>
              <w:rPr>
                <w:b w:val="1"/>
                <w:sz w:val="20"/>
                <w:szCs w:val="20"/>
              </w:rPr>
            </w:pPr>
            <w:r w:rsidDel="00000000" w:rsidR="00000000" w:rsidRPr="00000000">
              <w:rPr>
                <w:b w:val="1"/>
                <w:sz w:val="20"/>
                <w:szCs w:val="20"/>
                <w:rtl w:val="0"/>
              </w:rPr>
              <w:t xml:space="preserve">One quarter SAB or TR</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9">
            <w:pPr>
              <w:widowControl w:val="0"/>
              <w:spacing w:after="0" w:before="0" w:line="240" w:lineRule="auto"/>
              <w:ind w:left="0" w:right="0" w:firstLine="0"/>
              <w:rPr>
                <w:b w:val="1"/>
                <w:sz w:val="20"/>
                <w:szCs w:val="20"/>
              </w:rPr>
            </w:pPr>
            <w:r w:rsidDel="00000000" w:rsidR="00000000" w:rsidRPr="00000000">
              <w:rPr>
                <w:b w:val="1"/>
                <w:sz w:val="20"/>
                <w:szCs w:val="20"/>
                <w:rtl w:val="0"/>
              </w:rPr>
              <w:t xml:space="preserve">Two quarters of SAB or TR</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A">
            <w:pPr>
              <w:widowControl w:val="0"/>
              <w:spacing w:after="0" w:before="0" w:line="240" w:lineRule="auto"/>
              <w:ind w:left="0" w:right="0" w:firstLine="0"/>
              <w:rPr>
                <w:b w:val="1"/>
                <w:sz w:val="20"/>
                <w:szCs w:val="20"/>
              </w:rPr>
            </w:pPr>
            <w:r w:rsidDel="00000000" w:rsidR="00000000" w:rsidRPr="00000000">
              <w:rPr>
                <w:b w:val="1"/>
                <w:sz w:val="20"/>
                <w:szCs w:val="20"/>
                <w:rtl w:val="0"/>
              </w:rPr>
              <w:t xml:space="preserve">Three quarters SAB or TR</w:t>
            </w:r>
          </w:p>
        </w:tc>
      </w:tr>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spacing w:after="0" w:before="0" w:line="240" w:lineRule="auto"/>
              <w:ind w:left="0" w:right="0" w:firstLine="0"/>
              <w:rPr>
                <w:b w:val="1"/>
                <w:sz w:val="20"/>
                <w:szCs w:val="20"/>
              </w:rPr>
            </w:pPr>
            <w:r w:rsidDel="00000000" w:rsidR="00000000" w:rsidRPr="00000000">
              <w:rPr>
                <w:b w:val="1"/>
                <w:sz w:val="20"/>
                <w:szCs w:val="20"/>
                <w:rtl w:val="0"/>
              </w:rPr>
              <w:t xml:space="preserve">Research Faculty</w:t>
            </w:r>
          </w:p>
          <w:p w:rsidR="00000000" w:rsidDel="00000000" w:rsidP="00000000" w:rsidRDefault="00000000" w:rsidRPr="00000000" w14:paraId="0000001C">
            <w:pPr>
              <w:widowControl w:val="0"/>
              <w:spacing w:after="0" w:before="0" w:line="240" w:lineRule="auto"/>
              <w:ind w:left="0" w:right="0" w:firstLine="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D">
            <w:pPr>
              <w:widowControl w:val="0"/>
              <w:spacing w:after="0" w:before="0" w:line="240" w:lineRule="auto"/>
              <w:ind w:left="0" w:right="0" w:firstLine="0"/>
              <w:rPr>
                <w:sz w:val="20"/>
                <w:szCs w:val="20"/>
              </w:rPr>
            </w:pPr>
            <w:r w:rsidDel="00000000" w:rsidR="00000000" w:rsidRPr="00000000">
              <w:rPr>
                <w:sz w:val="20"/>
                <w:szCs w:val="20"/>
                <w:rtl w:val="0"/>
              </w:rPr>
              <w:t xml:space="preserve">Excused from small/medium course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spacing w:after="0" w:before="0" w:line="240" w:lineRule="auto"/>
              <w:ind w:left="0" w:right="0" w:firstLine="0"/>
              <w:rPr>
                <w:sz w:val="20"/>
                <w:szCs w:val="20"/>
              </w:rPr>
            </w:pPr>
            <w:r w:rsidDel="00000000" w:rsidR="00000000" w:rsidRPr="00000000">
              <w:rPr>
                <w:sz w:val="20"/>
                <w:szCs w:val="20"/>
                <w:rtl w:val="0"/>
              </w:rPr>
              <w:t xml:space="preserve">Excused from medium/large course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F">
            <w:pPr>
              <w:widowControl w:val="0"/>
              <w:spacing w:after="0" w:before="0" w:line="240" w:lineRule="auto"/>
              <w:ind w:left="0" w:right="0" w:firstLine="0"/>
              <w:rPr>
                <w:sz w:val="20"/>
                <w:szCs w:val="20"/>
              </w:rPr>
            </w:pPr>
            <w:r w:rsidDel="00000000" w:rsidR="00000000" w:rsidRPr="00000000">
              <w:rPr>
                <w:sz w:val="20"/>
                <w:szCs w:val="20"/>
                <w:rtl w:val="0"/>
              </w:rPr>
              <w:t xml:space="preserve">Excused from both courses</w:t>
            </w:r>
          </w:p>
        </w:tc>
      </w:tr>
      <w:tr>
        <w:trPr>
          <w:cantSplit w:val="0"/>
          <w:trHeight w:val="1204.9218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0">
            <w:pPr>
              <w:widowControl w:val="0"/>
              <w:spacing w:after="0" w:before="0" w:line="240" w:lineRule="auto"/>
              <w:ind w:left="0" w:right="0" w:firstLine="0"/>
              <w:rPr>
                <w:b w:val="1"/>
                <w:sz w:val="20"/>
                <w:szCs w:val="20"/>
              </w:rPr>
            </w:pPr>
            <w:r w:rsidDel="00000000" w:rsidR="00000000" w:rsidRPr="00000000">
              <w:rPr>
                <w:b w:val="1"/>
                <w:sz w:val="20"/>
                <w:szCs w:val="20"/>
                <w:rtl w:val="0"/>
              </w:rPr>
              <w:t xml:space="preserve">Teaching Faculty</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widowControl w:val="0"/>
              <w:spacing w:after="0" w:before="0" w:line="240" w:lineRule="auto"/>
              <w:ind w:left="0" w:right="0" w:firstLine="0"/>
              <w:rPr>
                <w:sz w:val="20"/>
                <w:szCs w:val="20"/>
              </w:rPr>
            </w:pPr>
            <w:r w:rsidDel="00000000" w:rsidR="00000000" w:rsidRPr="00000000">
              <w:rPr>
                <w:sz w:val="20"/>
                <w:szCs w:val="20"/>
                <w:rtl w:val="0"/>
              </w:rPr>
              <w:t xml:space="preserve">Excused from a medium course (or one large course if they are not assigned to any medium courses).</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2">
            <w:pPr>
              <w:widowControl w:val="0"/>
              <w:spacing w:after="0" w:before="0" w:line="240" w:lineRule="auto"/>
              <w:ind w:left="0" w:right="0" w:firstLine="0"/>
              <w:rPr>
                <w:sz w:val="20"/>
                <w:szCs w:val="20"/>
              </w:rPr>
            </w:pPr>
            <w:r w:rsidDel="00000000" w:rsidR="00000000" w:rsidRPr="00000000">
              <w:rPr>
                <w:sz w:val="20"/>
                <w:szCs w:val="20"/>
                <w:rtl w:val="0"/>
              </w:rPr>
              <w:t xml:space="preserve">Excused from three large (or a combination of large and medium) courses.</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spacing w:after="0" w:before="0" w:line="240" w:lineRule="auto"/>
              <w:ind w:left="0" w:right="0" w:firstLine="0"/>
              <w:rPr>
                <w:sz w:val="20"/>
                <w:szCs w:val="20"/>
              </w:rPr>
            </w:pPr>
            <w:r w:rsidDel="00000000" w:rsidR="00000000" w:rsidRPr="00000000">
              <w:rPr>
                <w:sz w:val="20"/>
                <w:szCs w:val="20"/>
                <w:rtl w:val="0"/>
              </w:rPr>
              <w:t xml:space="preserve">Excused from all courses for the same academic year.</w:t>
            </w:r>
          </w:p>
        </w:tc>
      </w:tr>
    </w:tbl>
    <w:p w:rsidR="00000000" w:rsidDel="00000000" w:rsidP="00000000" w:rsidRDefault="00000000" w:rsidRPr="00000000" w14:paraId="00000024">
      <w:pPr>
        <w:widowControl w:val="0"/>
        <w:spacing w:after="0" w:before="0" w:line="240" w:lineRule="auto"/>
        <w:ind w:right="0"/>
        <w:rPr/>
      </w:pPr>
      <w:r w:rsidDel="00000000" w:rsidR="00000000" w:rsidRPr="00000000">
        <w:rPr>
          <w:rtl w:val="0"/>
        </w:rPr>
      </w:r>
    </w:p>
    <w:p w:rsidR="00000000" w:rsidDel="00000000" w:rsidP="00000000" w:rsidRDefault="00000000" w:rsidRPr="00000000" w14:paraId="00000025">
      <w:pPr>
        <w:widowControl w:val="0"/>
        <w:spacing w:after="0" w:before="0" w:line="240" w:lineRule="auto"/>
        <w:ind w:right="0"/>
        <w:rPr/>
      </w:pPr>
      <w:r w:rsidDel="00000000" w:rsidR="00000000" w:rsidRPr="00000000">
        <w:rPr>
          <w:rtl w:val="0"/>
        </w:rPr>
      </w:r>
    </w:p>
    <w:p w:rsidR="00000000" w:rsidDel="00000000" w:rsidP="00000000" w:rsidRDefault="00000000" w:rsidRPr="00000000" w14:paraId="00000026">
      <w:pPr>
        <w:widowControl w:val="0"/>
        <w:numPr>
          <w:ilvl w:val="0"/>
          <w:numId w:val="1"/>
        </w:numPr>
        <w:spacing w:after="0" w:before="0" w:line="240" w:lineRule="auto"/>
        <w:ind w:left="720" w:right="90" w:hanging="360"/>
        <w:rPr/>
      </w:pPr>
      <w:r w:rsidDel="00000000" w:rsidR="00000000" w:rsidRPr="00000000">
        <w:rPr>
          <w:rtl w:val="0"/>
        </w:rPr>
        <w:t xml:space="preserve">Teaching load for Faculty with partial appointments will be directly proportional to percentage appointment in our department (e.g., a Research Faculty at 50% appointment corresponds to 1.0 courses each academic year, a 25% appointment corresponds to 1.0 courses every-other academic year). Faculty with partial appointments will alternate between teaching large and small courses (or medium course), such that their overall teaching load is simply the appropriate fraction of one large and one small courses (or two medium courses) per academic year.</w:t>
      </w:r>
    </w:p>
    <w:p w:rsidR="00000000" w:rsidDel="00000000" w:rsidP="00000000" w:rsidRDefault="00000000" w:rsidRPr="00000000" w14:paraId="00000027">
      <w:pPr>
        <w:widowControl w:val="0"/>
        <w:spacing w:after="0" w:before="0" w:line="240" w:lineRule="auto"/>
        <w:ind w:right="90"/>
        <w:rPr/>
      </w:pPr>
      <w:r w:rsidDel="00000000" w:rsidR="00000000" w:rsidRPr="00000000">
        <w:rPr>
          <w:rtl w:val="0"/>
        </w:rPr>
      </w:r>
    </w:p>
    <w:p w:rsidR="00000000" w:rsidDel="00000000" w:rsidP="00000000" w:rsidRDefault="00000000" w:rsidRPr="00000000" w14:paraId="00000028">
      <w:pPr>
        <w:widowControl w:val="0"/>
        <w:numPr>
          <w:ilvl w:val="0"/>
          <w:numId w:val="1"/>
        </w:numPr>
        <w:spacing w:after="0" w:before="0" w:line="240" w:lineRule="auto"/>
        <w:ind w:left="720" w:right="90" w:hanging="360"/>
        <w:rPr/>
      </w:pPr>
      <w:r w:rsidDel="00000000" w:rsidR="00000000" w:rsidRPr="00000000">
        <w:rPr>
          <w:rtl w:val="0"/>
        </w:rPr>
        <w:t xml:space="preserve">All faculty should have input into their teaching assignments </w:t>
      </w:r>
    </w:p>
    <w:p w:rsidR="00000000" w:rsidDel="00000000" w:rsidP="00000000" w:rsidRDefault="00000000" w:rsidRPr="00000000" w14:paraId="00000029">
      <w:pPr>
        <w:widowControl w:val="0"/>
        <w:spacing w:after="0" w:before="0" w:line="240" w:lineRule="auto"/>
        <w:ind w:right="90"/>
        <w:rPr/>
      </w:pPr>
      <w:r w:rsidDel="00000000" w:rsidR="00000000" w:rsidRPr="00000000">
        <w:rPr>
          <w:rtl w:val="0"/>
        </w:rPr>
      </w:r>
    </w:p>
    <w:p w:rsidR="00000000" w:rsidDel="00000000" w:rsidP="00000000" w:rsidRDefault="00000000" w:rsidRPr="00000000" w14:paraId="0000002A">
      <w:pPr>
        <w:widowControl w:val="0"/>
        <w:numPr>
          <w:ilvl w:val="0"/>
          <w:numId w:val="1"/>
        </w:numPr>
        <w:spacing w:after="0" w:before="0" w:line="240" w:lineRule="auto"/>
        <w:ind w:left="720" w:right="90" w:hanging="360"/>
        <w:rPr/>
      </w:pPr>
      <w:r w:rsidDel="00000000" w:rsidR="00000000" w:rsidRPr="00000000">
        <w:rPr>
          <w:rtl w:val="0"/>
        </w:rPr>
        <w:t xml:space="preserve">All faculty should rotate out of a given course after 3-5 quarters of instruction if other qualiﬁed faculty express an interest in teaching the same course. Exceptions may be made for highly specialized courses or courses with signiﬁcant curriculum development.</w:t>
      </w:r>
    </w:p>
    <w:p w:rsidR="00000000" w:rsidDel="00000000" w:rsidP="00000000" w:rsidRDefault="00000000" w:rsidRPr="00000000" w14:paraId="0000002B">
      <w:pPr>
        <w:widowControl w:val="0"/>
        <w:spacing w:after="0" w:before="0" w:line="240" w:lineRule="auto"/>
        <w:ind w:right="90"/>
        <w:rPr/>
      </w:pPr>
      <w:r w:rsidDel="00000000" w:rsidR="00000000" w:rsidRPr="00000000">
        <w:rPr>
          <w:rtl w:val="0"/>
        </w:rPr>
      </w:r>
    </w:p>
    <w:p w:rsidR="00000000" w:rsidDel="00000000" w:rsidP="00000000" w:rsidRDefault="00000000" w:rsidRPr="00000000" w14:paraId="0000002C">
      <w:pPr>
        <w:widowControl w:val="0"/>
        <w:numPr>
          <w:ilvl w:val="0"/>
          <w:numId w:val="1"/>
        </w:numPr>
        <w:spacing w:after="0" w:before="0" w:line="240" w:lineRule="auto"/>
        <w:ind w:left="720" w:right="90" w:hanging="360"/>
        <w:rPr/>
      </w:pPr>
      <w:r w:rsidDel="00000000" w:rsidR="00000000" w:rsidRPr="00000000">
        <w:rPr>
          <w:rtl w:val="0"/>
        </w:rPr>
        <w:t xml:space="preserve">All faculty should submit a 3-year teaching plan to their respective Section Chair in the Fall quarter of each year to be used when determining teaching assignments.</w:t>
      </w:r>
      <w:r w:rsidDel="00000000" w:rsidR="00000000" w:rsidRPr="00000000">
        <w:rPr>
          <w:rtl w:val="0"/>
        </w:rPr>
      </w:r>
    </w:p>
    <w:p w:rsidR="00000000" w:rsidDel="00000000" w:rsidP="00000000" w:rsidRDefault="00000000" w:rsidRPr="00000000" w14:paraId="0000002D">
      <w:pPr>
        <w:widowControl w:val="0"/>
        <w:spacing w:after="0" w:before="0" w:line="240" w:lineRule="auto"/>
        <w:ind w:left="720" w:right="90" w:firstLine="0"/>
        <w:rPr/>
      </w:pPr>
      <w:r w:rsidDel="00000000" w:rsidR="00000000" w:rsidRPr="00000000">
        <w:rPr>
          <w:rtl w:val="0"/>
        </w:rPr>
      </w:r>
    </w:p>
    <w:p w:rsidR="00000000" w:rsidDel="00000000" w:rsidP="00000000" w:rsidRDefault="00000000" w:rsidRPr="00000000" w14:paraId="0000002E">
      <w:pPr>
        <w:widowControl w:val="0"/>
        <w:numPr>
          <w:ilvl w:val="0"/>
          <w:numId w:val="1"/>
        </w:numPr>
        <w:spacing w:after="0" w:before="0" w:line="240" w:lineRule="auto"/>
        <w:ind w:left="720" w:hanging="360"/>
        <w:rPr/>
      </w:pPr>
      <w:r w:rsidDel="00000000" w:rsidR="00000000" w:rsidRPr="00000000">
        <w:rPr>
          <w:rtl w:val="0"/>
        </w:rPr>
        <w:t xml:space="preserve">Prior to tenure, all faculty receive teaching relief for 2 courses, of which only 1 can be a large course. All relief requests are subject to approval and based on the needs of the department.</w:t>
      </w:r>
    </w:p>
    <w:p w:rsidR="00000000" w:rsidDel="00000000" w:rsidP="00000000" w:rsidRDefault="00000000" w:rsidRPr="00000000" w14:paraId="0000002F">
      <w:pPr>
        <w:widowControl w:val="0"/>
        <w:spacing w:after="0" w:before="0" w:line="240" w:lineRule="auto"/>
        <w:rPr/>
      </w:pPr>
      <w:r w:rsidDel="00000000" w:rsidR="00000000" w:rsidRPr="00000000">
        <w:rPr>
          <w:rtl w:val="0"/>
        </w:rPr>
      </w:r>
    </w:p>
    <w:p w:rsidR="00000000" w:rsidDel="00000000" w:rsidP="00000000" w:rsidRDefault="00000000" w:rsidRPr="00000000" w14:paraId="00000030">
      <w:pPr>
        <w:widowControl w:val="0"/>
        <w:numPr>
          <w:ilvl w:val="0"/>
          <w:numId w:val="1"/>
        </w:numPr>
        <w:spacing w:after="0" w:before="0" w:line="240" w:lineRule="auto"/>
        <w:ind w:left="720" w:hanging="360"/>
      </w:pPr>
      <w:r w:rsidDel="00000000" w:rsidR="00000000" w:rsidRPr="00000000">
        <w:rPr>
          <w:rtl w:val="0"/>
        </w:rPr>
        <w:t xml:space="preserve">Every 3 years, teaching faculty may have reduced teaching load of 1 small course in one year if their 3-year historical average has been consistently high enrollment (&gt; 200 students in 10 or more courses). Maximum of 1 course in 3 years.</w:t>
      </w:r>
    </w:p>
    <w:p w:rsidR="00000000" w:rsidDel="00000000" w:rsidP="00000000" w:rsidRDefault="00000000" w:rsidRPr="00000000" w14:paraId="00000031">
      <w:pPr>
        <w:widowControl w:val="0"/>
        <w:spacing w:after="0" w:before="0" w:line="240" w:lineRule="auto"/>
        <w:rPr/>
      </w:pPr>
      <w:r w:rsidDel="00000000" w:rsidR="00000000" w:rsidRPr="00000000">
        <w:rPr>
          <w:rtl w:val="0"/>
        </w:rPr>
      </w:r>
    </w:p>
    <w:p w:rsidR="00000000" w:rsidDel="00000000" w:rsidP="00000000" w:rsidRDefault="00000000" w:rsidRPr="00000000" w14:paraId="00000032">
      <w:pPr>
        <w:widowControl w:val="0"/>
        <w:numPr>
          <w:ilvl w:val="0"/>
          <w:numId w:val="1"/>
        </w:numPr>
        <w:spacing w:after="0" w:before="0" w:line="240" w:lineRule="auto"/>
        <w:ind w:left="720" w:hanging="360"/>
      </w:pPr>
      <w:r w:rsidDel="00000000" w:rsidR="00000000" w:rsidRPr="00000000">
        <w:rPr>
          <w:rtl w:val="0"/>
        </w:rPr>
        <w:t xml:space="preserve">Every 3 years, research faculty may have reduced teaching load of 1 small course in one year once 30 full-time student years of CHEM 299 enrollments is accrued (cumulative over time). Maximum of 1 course in 3 years.</w:t>
      </w:r>
    </w:p>
    <w:p w:rsidR="00000000" w:rsidDel="00000000" w:rsidP="00000000" w:rsidRDefault="00000000" w:rsidRPr="00000000" w14:paraId="00000033">
      <w:pPr>
        <w:widowControl w:val="0"/>
        <w:spacing w:after="0" w:before="0" w:line="240" w:lineRule="auto"/>
        <w:ind w:right="-720"/>
        <w:rPr/>
      </w:pPr>
      <w:r w:rsidDel="00000000" w:rsidR="00000000" w:rsidRPr="00000000">
        <w:rPr>
          <w:rtl w:val="0"/>
        </w:rPr>
      </w:r>
    </w:p>
    <w:p w:rsidR="00000000" w:rsidDel="00000000" w:rsidP="00000000" w:rsidRDefault="00000000" w:rsidRPr="00000000" w14:paraId="00000034">
      <w:pPr>
        <w:widowControl w:val="0"/>
        <w:spacing w:after="0" w:before="0" w:line="240" w:lineRule="auto"/>
        <w:ind w:right="-720"/>
        <w:rPr/>
      </w:pPr>
      <w:r w:rsidDel="00000000" w:rsidR="00000000" w:rsidRPr="00000000">
        <w:rPr>
          <w:rtl w:val="0"/>
        </w:rPr>
      </w:r>
    </w:p>
    <w:p w:rsidR="00000000" w:rsidDel="00000000" w:rsidP="00000000" w:rsidRDefault="00000000" w:rsidRPr="00000000" w14:paraId="00000035">
      <w:pPr>
        <w:widowControl w:val="0"/>
        <w:spacing w:after="0" w:before="0" w:line="240" w:lineRule="auto"/>
        <w:ind w:right="0"/>
        <w:rPr>
          <w:u w:val="single"/>
        </w:rPr>
      </w:pPr>
      <w:r w:rsidDel="00000000" w:rsidR="00000000" w:rsidRPr="00000000">
        <w:rPr>
          <w:u w:val="single"/>
          <w:rtl w:val="0"/>
        </w:rPr>
        <w:t xml:space="preserve">Additional Resources:</w:t>
      </w:r>
    </w:p>
    <w:p w:rsidR="00000000" w:rsidDel="00000000" w:rsidP="00000000" w:rsidRDefault="00000000" w:rsidRPr="00000000" w14:paraId="00000036">
      <w:pPr>
        <w:widowControl w:val="0"/>
        <w:shd w:fill="ffffff" w:val="clear"/>
        <w:spacing w:after="0" w:before="0" w:line="240" w:lineRule="auto"/>
        <w:ind w:right="0"/>
        <w:rPr>
          <w:color w:val="222222"/>
        </w:rPr>
      </w:pPr>
      <w:r w:rsidDel="00000000" w:rsidR="00000000" w:rsidRPr="00000000">
        <w:rPr>
          <w:color w:val="222222"/>
          <w:rtl w:val="0"/>
        </w:rPr>
        <w:t xml:space="preserve">UC San Diego Faculty FTE Leverage Program: Faculty may use extramural salary support to buy-out courses at the rate of one-sixth of the annual academic -year salary per course.  </w:t>
      </w:r>
    </w:p>
    <w:p w:rsidR="00000000" w:rsidDel="00000000" w:rsidP="00000000" w:rsidRDefault="00000000" w:rsidRPr="00000000" w14:paraId="00000037">
      <w:pPr>
        <w:widowControl w:val="0"/>
        <w:shd w:fill="ffffff" w:val="clear"/>
        <w:spacing w:after="0" w:before="0" w:line="240" w:lineRule="auto"/>
        <w:ind w:right="0"/>
        <w:rPr>
          <w:color w:val="222222"/>
        </w:rPr>
      </w:pPr>
      <w:r w:rsidDel="00000000" w:rsidR="00000000" w:rsidRPr="00000000">
        <w:rPr>
          <w:rtl w:val="0"/>
        </w:rPr>
      </w:r>
    </w:p>
    <w:p w:rsidR="00000000" w:rsidDel="00000000" w:rsidP="00000000" w:rsidRDefault="00000000" w:rsidRPr="00000000" w14:paraId="00000038">
      <w:pPr>
        <w:widowControl w:val="0"/>
        <w:shd w:fill="ffffff" w:val="clear"/>
        <w:spacing w:after="0" w:before="0" w:line="240" w:lineRule="auto"/>
        <w:ind w:right="0"/>
        <w:rPr>
          <w:color w:val="1155cc"/>
          <w:u w:val="single"/>
        </w:rPr>
      </w:pPr>
      <w:hyperlink r:id="rId6">
        <w:r w:rsidDel="00000000" w:rsidR="00000000" w:rsidRPr="00000000">
          <w:rPr>
            <w:color w:val="1155cc"/>
            <w:u w:val="single"/>
            <w:rtl w:val="0"/>
          </w:rPr>
          <w:t xml:space="preserve">https://aps.ucsd.edu/compensation/fsepflp.html#Faculty-FTE-Leverage-Program-Gu</w:t>
        </w:r>
      </w:hyperlink>
      <w:r w:rsidDel="00000000" w:rsidR="00000000" w:rsidRPr="00000000">
        <w:rPr>
          <w:rtl w:val="0"/>
        </w:rPr>
      </w:r>
    </w:p>
    <w:p w:rsidR="00000000" w:rsidDel="00000000" w:rsidP="00000000" w:rsidRDefault="00000000" w:rsidRPr="00000000" w14:paraId="00000039">
      <w:pPr>
        <w:widowControl w:val="0"/>
        <w:shd w:fill="ffffff" w:val="clear"/>
        <w:spacing w:after="0" w:before="0" w:line="240" w:lineRule="auto"/>
        <w:ind w:right="0"/>
        <w:rPr>
          <w:color w:val="1155cc"/>
          <w:u w:val="single"/>
        </w:rPr>
      </w:pPr>
      <w:r w:rsidDel="00000000" w:rsidR="00000000" w:rsidRPr="00000000">
        <w:rPr>
          <w:rtl w:val="0"/>
        </w:rPr>
      </w:r>
    </w:p>
    <w:p w:rsidR="00000000" w:rsidDel="00000000" w:rsidP="00000000" w:rsidRDefault="00000000" w:rsidRPr="00000000" w14:paraId="0000003A">
      <w:pPr>
        <w:widowControl w:val="0"/>
        <w:numPr>
          <w:ilvl w:val="0"/>
          <w:numId w:val="2"/>
        </w:numPr>
        <w:spacing w:after="0" w:before="0" w:line="240" w:lineRule="auto"/>
        <w:ind w:left="940" w:right="0" w:hanging="360"/>
        <w:rPr/>
      </w:pPr>
      <w:r w:rsidDel="00000000" w:rsidR="00000000" w:rsidRPr="00000000">
        <w:rPr>
          <w:color w:val="222222"/>
          <w:rtl w:val="0"/>
        </w:rPr>
        <w:t xml:space="preserve">Things to consider if taking Teaching Relief:</w:t>
      </w:r>
    </w:p>
    <w:p w:rsidR="00000000" w:rsidDel="00000000" w:rsidP="00000000" w:rsidRDefault="00000000" w:rsidRPr="00000000" w14:paraId="0000003B">
      <w:pPr>
        <w:widowControl w:val="0"/>
        <w:numPr>
          <w:ilvl w:val="1"/>
          <w:numId w:val="2"/>
        </w:numPr>
        <w:spacing w:after="0" w:before="0" w:line="240" w:lineRule="auto"/>
        <w:ind w:left="1660" w:right="0" w:hanging="360"/>
        <w:rPr/>
      </w:pPr>
      <w:r w:rsidDel="00000000" w:rsidR="00000000" w:rsidRPr="00000000">
        <w:rPr>
          <w:color w:val="222222"/>
          <w:rtl w:val="0"/>
        </w:rPr>
        <w:t xml:space="preserve">GCCP: Anyone participating in GCCP is not eligible for teaching relief during the academic year, unless they are on a Full Sabbatical. </w:t>
      </w:r>
    </w:p>
    <w:p w:rsidR="00000000" w:rsidDel="00000000" w:rsidP="00000000" w:rsidRDefault="00000000" w:rsidRPr="00000000" w14:paraId="0000003C">
      <w:pPr>
        <w:widowControl w:val="0"/>
        <w:numPr>
          <w:ilvl w:val="1"/>
          <w:numId w:val="2"/>
        </w:numPr>
        <w:spacing w:after="0" w:before="0" w:line="240" w:lineRule="auto"/>
        <w:ind w:left="1660" w:right="0" w:hanging="360"/>
        <w:rPr/>
      </w:pPr>
      <w:r w:rsidDel="00000000" w:rsidR="00000000" w:rsidRPr="00000000">
        <w:rPr>
          <w:color w:val="222222"/>
          <w:rtl w:val="0"/>
        </w:rPr>
        <w:t xml:space="preserve">FSEP: Anyone participating in FSEP is not eligible for teaching relief in the same quarter as the requested FSEP.</w:t>
      </w:r>
    </w:p>
    <w:p w:rsidR="00000000" w:rsidDel="00000000" w:rsidP="00000000" w:rsidRDefault="00000000" w:rsidRPr="00000000" w14:paraId="0000003D">
      <w:pPr>
        <w:widowControl w:val="0"/>
        <w:spacing w:after="0" w:before="0" w:line="240" w:lineRule="auto"/>
        <w:ind w:right="0"/>
        <w:rPr>
          <w:color w:val="222222"/>
        </w:rPr>
      </w:pPr>
      <w:r w:rsidDel="00000000" w:rsidR="00000000" w:rsidRPr="00000000">
        <w:rPr>
          <w:rtl w:val="0"/>
        </w:rPr>
      </w:r>
    </w:p>
    <w:p w:rsidR="00000000" w:rsidDel="00000000" w:rsidP="00000000" w:rsidRDefault="00000000" w:rsidRPr="00000000" w14:paraId="0000003E">
      <w:pPr>
        <w:widowControl w:val="0"/>
        <w:numPr>
          <w:ilvl w:val="0"/>
          <w:numId w:val="2"/>
        </w:numPr>
        <w:spacing w:after="0" w:before="0" w:line="240" w:lineRule="auto"/>
        <w:ind w:left="940" w:right="0" w:hanging="360"/>
        <w:rPr/>
      </w:pPr>
      <w:r w:rsidDel="00000000" w:rsidR="00000000" w:rsidRPr="00000000">
        <w:rPr>
          <w:color w:val="222222"/>
          <w:rtl w:val="0"/>
        </w:rPr>
        <w:t xml:space="preserve">Link to FSEP: </w:t>
      </w:r>
      <w:hyperlink r:id="rId7">
        <w:r w:rsidDel="00000000" w:rsidR="00000000" w:rsidRPr="00000000">
          <w:rPr>
            <w:color w:val="1155cc"/>
            <w:u w:val="single"/>
            <w:rtl w:val="0"/>
          </w:rPr>
          <w:t xml:space="preserve">https://aps.ucsd.edu/compensation/fsepflp.html#Faculty-Salary-Exchange-Program</w:t>
        </w:r>
      </w:hyperlink>
      <w:r w:rsidDel="00000000" w:rsidR="00000000" w:rsidRPr="00000000">
        <w:rPr>
          <w:rtl w:val="0"/>
        </w:rPr>
      </w:r>
    </w:p>
    <w:p w:rsidR="00000000" w:rsidDel="00000000" w:rsidP="00000000" w:rsidRDefault="00000000" w:rsidRPr="00000000" w14:paraId="0000003F">
      <w:pPr>
        <w:widowControl w:val="0"/>
        <w:spacing w:after="0" w:before="0" w:line="240" w:lineRule="auto"/>
        <w:ind w:right="0"/>
        <w:rPr>
          <w:color w:val="1155cc"/>
          <w:u w:val="single"/>
        </w:rPr>
      </w:pPr>
      <w:r w:rsidDel="00000000" w:rsidR="00000000" w:rsidRPr="00000000">
        <w:rPr>
          <w:rtl w:val="0"/>
        </w:rPr>
      </w:r>
    </w:p>
    <w:p w:rsidR="00000000" w:rsidDel="00000000" w:rsidP="00000000" w:rsidRDefault="00000000" w:rsidRPr="00000000" w14:paraId="00000040">
      <w:pPr>
        <w:widowControl w:val="0"/>
        <w:numPr>
          <w:ilvl w:val="0"/>
          <w:numId w:val="2"/>
        </w:numPr>
        <w:spacing w:after="0" w:before="0" w:line="240" w:lineRule="auto"/>
        <w:ind w:left="940" w:right="0" w:hanging="360"/>
        <w:rPr/>
      </w:pPr>
      <w:r w:rsidDel="00000000" w:rsidR="00000000" w:rsidRPr="00000000">
        <w:rPr>
          <w:color w:val="222222"/>
          <w:rtl w:val="0"/>
        </w:rPr>
        <w:t xml:space="preserve">Link to GCCP: </w:t>
      </w:r>
    </w:p>
    <w:p w:rsidR="00000000" w:rsidDel="00000000" w:rsidP="00000000" w:rsidRDefault="00000000" w:rsidRPr="00000000" w14:paraId="00000041">
      <w:pPr>
        <w:widowControl w:val="0"/>
        <w:numPr>
          <w:ilvl w:val="1"/>
          <w:numId w:val="2"/>
        </w:numPr>
        <w:spacing w:after="0" w:before="0" w:line="240" w:lineRule="auto"/>
        <w:ind w:left="1660" w:right="0" w:hanging="360"/>
        <w:rPr/>
      </w:pPr>
      <w:hyperlink r:id="rId8">
        <w:r w:rsidDel="00000000" w:rsidR="00000000" w:rsidRPr="00000000">
          <w:rPr>
            <w:color w:val="1155cc"/>
            <w:u w:val="single"/>
            <w:rtl w:val="0"/>
          </w:rPr>
          <w:t xml:space="preserve">https://aps.ucsd.edu/compensation/apo-salary.html#General-Campus-Compensation-Pla</w:t>
        </w:r>
      </w:hyperlink>
      <w:r w:rsidDel="00000000" w:rsidR="00000000" w:rsidRPr="00000000">
        <w:rPr>
          <w:rtl w:val="0"/>
        </w:rPr>
      </w:r>
    </w:p>
    <w:p w:rsidR="00000000" w:rsidDel="00000000" w:rsidP="00000000" w:rsidRDefault="00000000" w:rsidRPr="00000000" w14:paraId="00000042">
      <w:pPr>
        <w:widowControl w:val="0"/>
        <w:numPr>
          <w:ilvl w:val="1"/>
          <w:numId w:val="2"/>
        </w:numPr>
        <w:spacing w:after="0" w:before="0" w:line="240" w:lineRule="auto"/>
        <w:ind w:left="1660" w:right="0" w:hanging="360"/>
        <w:rPr/>
      </w:pPr>
      <w:hyperlink r:id="rId9">
        <w:r w:rsidDel="00000000" w:rsidR="00000000" w:rsidRPr="00000000">
          <w:rPr>
            <w:color w:val="1155cc"/>
            <w:u w:val="single"/>
            <w:rtl w:val="0"/>
          </w:rPr>
          <w:t xml:space="preserve">https://aps.ucsd.edu/_files/compensation/GCCP_FAQ.pdf</w:t>
        </w:r>
      </w:hyperlink>
      <w:r w:rsidDel="00000000" w:rsidR="00000000" w:rsidRPr="00000000">
        <w:rPr>
          <w:rtl w:val="0"/>
        </w:rPr>
      </w:r>
    </w:p>
    <w:p w:rsidR="00000000" w:rsidDel="00000000" w:rsidP="00000000" w:rsidRDefault="00000000" w:rsidRPr="00000000" w14:paraId="00000043">
      <w:pPr>
        <w:widowControl w:val="0"/>
        <w:numPr>
          <w:ilvl w:val="1"/>
          <w:numId w:val="2"/>
        </w:numPr>
        <w:spacing w:after="0" w:before="0" w:line="240" w:lineRule="auto"/>
        <w:ind w:left="1660" w:right="0" w:hanging="360"/>
        <w:rPr/>
      </w:pPr>
      <w:hyperlink r:id="rId10">
        <w:r w:rsidDel="00000000" w:rsidR="00000000" w:rsidRPr="00000000">
          <w:rPr>
            <w:color w:val="1155cc"/>
            <w:u w:val="single"/>
            <w:rtl w:val="0"/>
          </w:rPr>
          <w:t xml:space="preserve">https://aps.ucsd.edu/_files/compensation/gccp-implementation-guidelines.pdf</w:t>
        </w:r>
      </w:hyperlink>
      <w:r w:rsidDel="00000000" w:rsidR="00000000" w:rsidRPr="00000000">
        <w:rPr>
          <w:rtl w:val="0"/>
        </w:rPr>
      </w:r>
    </w:p>
    <w:p w:rsidR="00000000" w:rsidDel="00000000" w:rsidP="00000000" w:rsidRDefault="00000000" w:rsidRPr="00000000" w14:paraId="00000044">
      <w:pPr>
        <w:widowControl w:val="0"/>
        <w:spacing w:after="0" w:before="0" w:line="240" w:lineRule="auto"/>
        <w:ind w:right="0"/>
        <w:rPr>
          <w:highlight w:val="yellow"/>
        </w:rPr>
      </w:pPr>
      <w:r w:rsidDel="00000000" w:rsidR="00000000" w:rsidRPr="00000000">
        <w:rPr>
          <w:rtl w:val="0"/>
        </w:rPr>
      </w:r>
    </w:p>
    <w:p w:rsidR="00000000" w:rsidDel="00000000" w:rsidP="00000000" w:rsidRDefault="00000000" w:rsidRPr="00000000" w14:paraId="00000045">
      <w:pPr>
        <w:spacing w:after="240" w:before="240" w:line="240" w:lineRule="auto"/>
        <w:ind w:left="720" w:right="-720" w:firstLine="0"/>
        <w:rPr/>
      </w:pPr>
      <w:r w:rsidDel="00000000" w:rsidR="00000000" w:rsidRPr="00000000">
        <w:rPr>
          <w:rtl w:val="0"/>
        </w:rPr>
      </w:r>
    </w:p>
    <w:sectPr>
      <w:footerReference r:id="rId11"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sz w:val="16"/>
        <w:szCs w:val="16"/>
      </w:rPr>
    </w:pPr>
    <w:r w:rsidDel="00000000" w:rsidR="00000000" w:rsidRPr="00000000">
      <w:rPr>
        <w:sz w:val="16"/>
        <w:szCs w:val="16"/>
        <w:rtl w:val="0"/>
      </w:rPr>
      <w:t xml:space="preserve">Last updated: 12/11/24 by F. Chou</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aps.ucsd.edu/_files/compensation/gccp-implementation-guidelines.pdf" TargetMode="External"/><Relationship Id="rId9" Type="http://schemas.openxmlformats.org/officeDocument/2006/relationships/hyperlink" Target="https://aps.ucsd.edu/_files/compensation/GCCP_FAQ.pdf" TargetMode="External"/><Relationship Id="rId5" Type="http://schemas.openxmlformats.org/officeDocument/2006/relationships/styles" Target="styles.xml"/><Relationship Id="rId6" Type="http://schemas.openxmlformats.org/officeDocument/2006/relationships/hyperlink" Target="https://aps.ucsd.edu/compensation/fsepflp.html#Faculty-FTE-Leverage-Program-Gu" TargetMode="External"/><Relationship Id="rId7" Type="http://schemas.openxmlformats.org/officeDocument/2006/relationships/hyperlink" Target="https://aps.ucsd.edu/compensation/fsepflp.html#Faculty-Salary-Exchange-Program" TargetMode="External"/><Relationship Id="rId8" Type="http://schemas.openxmlformats.org/officeDocument/2006/relationships/hyperlink" Target="https://aps.ucsd.edu/compensation/apo-salary.html#General-Campus-Compensation-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